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35C" w:rsidRPr="00917427" w:rsidRDefault="00620F74" w:rsidP="004E535C">
      <w:pPr>
        <w:tabs>
          <w:tab w:val="left" w:pos="13041"/>
        </w:tabs>
        <w:rPr>
          <w:rFonts w:ascii="Arial" w:hAnsi="Arial"/>
          <w:b/>
          <w:i/>
          <w:noProof/>
          <w:sz w:val="24"/>
        </w:rPr>
      </w:pPr>
      <w:r>
        <w:rPr>
          <w:b/>
          <w:noProof/>
          <w:sz w:val="24"/>
        </w:rPr>
        <w:t>3GPP TSG-</w:t>
      </w:r>
      <w:r w:rsidR="00784730" w:rsidRPr="00784730">
        <w:rPr>
          <w:b/>
          <w:noProof/>
          <w:sz w:val="24"/>
        </w:rPr>
        <w:fldChar w:fldCharType="begin"/>
      </w:r>
      <w:r w:rsidR="00784730" w:rsidRPr="00784730">
        <w:rPr>
          <w:b/>
          <w:noProof/>
          <w:sz w:val="24"/>
        </w:rPr>
        <w:instrText xml:space="preserve"> DOCPROPERTY  TSG/WGRef  \* MERGEFORMAT </w:instrText>
      </w:r>
      <w:r w:rsidR="00784730" w:rsidRPr="00784730">
        <w:rPr>
          <w:b/>
          <w:noProof/>
          <w:sz w:val="24"/>
        </w:rPr>
        <w:fldChar w:fldCharType="separate"/>
      </w:r>
      <w:r w:rsidR="00784730" w:rsidRPr="00784730">
        <w:rPr>
          <w:b/>
          <w:noProof/>
          <w:sz w:val="24"/>
        </w:rPr>
        <w:t>SA</w:t>
      </w:r>
      <w:r w:rsidR="00784730" w:rsidRPr="00784730">
        <w:rPr>
          <w:b/>
          <w:noProof/>
          <w:sz w:val="24"/>
        </w:rPr>
        <w:fldChar w:fldCharType="end"/>
      </w:r>
      <w:r>
        <w:rPr>
          <w:b/>
          <w:noProof/>
          <w:sz w:val="24"/>
        </w:rPr>
        <w:t xml:space="preserve"> Meeting #</w:t>
      </w:r>
      <w:r w:rsidR="00784730" w:rsidRPr="00784730">
        <w:rPr>
          <w:b/>
          <w:noProof/>
          <w:sz w:val="24"/>
        </w:rPr>
        <w:fldChar w:fldCharType="begin"/>
      </w:r>
      <w:r w:rsidR="00784730" w:rsidRPr="00784730">
        <w:rPr>
          <w:b/>
          <w:noProof/>
          <w:sz w:val="24"/>
        </w:rPr>
        <w:instrText xml:space="preserve"> DOCPROPERTY  MtgSeq  \* MERGEFORMAT </w:instrText>
      </w:r>
      <w:r w:rsidR="00784730" w:rsidRPr="00784730">
        <w:rPr>
          <w:b/>
          <w:noProof/>
          <w:sz w:val="24"/>
        </w:rPr>
        <w:fldChar w:fldCharType="separate"/>
      </w:r>
      <w:r w:rsidR="00784730" w:rsidRPr="00784730">
        <w:rPr>
          <w:b/>
          <w:noProof/>
          <w:sz w:val="24"/>
        </w:rPr>
        <w:t>110</w:t>
      </w:r>
      <w:r w:rsidR="00784730" w:rsidRPr="00784730">
        <w:rPr>
          <w:b/>
          <w:noProof/>
          <w:sz w:val="24"/>
        </w:rPr>
        <w:fldChar w:fldCharType="end"/>
      </w:r>
      <w:r w:rsidR="004E535C" w:rsidRPr="00917427">
        <w:rPr>
          <w:rFonts w:ascii="Arial" w:hAnsi="Arial"/>
          <w:b/>
          <w:i/>
          <w:noProof/>
          <w:sz w:val="24"/>
        </w:rPr>
        <w:tab/>
      </w:r>
      <w:r w:rsidR="00784730">
        <w:rPr>
          <w:b/>
          <w:i/>
          <w:noProof/>
          <w:sz w:val="28"/>
        </w:rPr>
        <w:fldChar w:fldCharType="begin"/>
      </w:r>
      <w:r w:rsidR="00784730">
        <w:rPr>
          <w:b/>
          <w:i/>
          <w:noProof/>
          <w:sz w:val="28"/>
        </w:rPr>
        <w:instrText xml:space="preserve"> DOCPROPERTY  Tdoc#  \* MERGEFORMAT </w:instrText>
      </w:r>
      <w:r w:rsidR="00784730">
        <w:rPr>
          <w:b/>
          <w:i/>
          <w:noProof/>
          <w:sz w:val="28"/>
        </w:rPr>
        <w:fldChar w:fldCharType="separate"/>
      </w:r>
      <w:r w:rsidR="00784730">
        <w:rPr>
          <w:b/>
          <w:i/>
          <w:noProof/>
          <w:sz w:val="28"/>
        </w:rPr>
        <w:t>SP-251431</w:t>
      </w:r>
      <w:r w:rsidR="00784730">
        <w:rPr>
          <w:b/>
          <w:i/>
          <w:noProof/>
          <w:sz w:val="28"/>
        </w:rPr>
        <w:fldChar w:fldCharType="end"/>
      </w:r>
    </w:p>
    <w:p w:rsidR="004E535C" w:rsidRPr="00784730" w:rsidRDefault="00784730" w:rsidP="004E535C">
      <w:pPr>
        <w:tabs>
          <w:tab w:val="left" w:pos="7371"/>
        </w:tabs>
        <w:rPr>
          <w:b/>
          <w:noProof/>
          <w:sz w:val="24"/>
        </w:rPr>
      </w:pPr>
      <w:r w:rsidRPr="00784730">
        <w:rPr>
          <w:b/>
          <w:noProof/>
          <w:sz w:val="24"/>
        </w:rPr>
        <w:fldChar w:fldCharType="begin"/>
      </w:r>
      <w:r w:rsidRPr="00784730">
        <w:rPr>
          <w:b/>
          <w:noProof/>
          <w:sz w:val="24"/>
        </w:rPr>
        <w:instrText xml:space="preserve"> DOCPROPERTY  Location  \* MERGEFORMAT </w:instrText>
      </w:r>
      <w:r w:rsidRPr="00784730">
        <w:rPr>
          <w:b/>
          <w:noProof/>
          <w:sz w:val="24"/>
        </w:rPr>
        <w:fldChar w:fldCharType="separate"/>
      </w:r>
      <w:r w:rsidRPr="00784730">
        <w:rPr>
          <w:b/>
          <w:noProof/>
          <w:sz w:val="24"/>
        </w:rPr>
        <w:t>Baltimore</w:t>
      </w:r>
      <w:r w:rsidRPr="00784730">
        <w:rPr>
          <w:b/>
          <w:noProof/>
          <w:sz w:val="24"/>
        </w:rPr>
        <w:fldChar w:fldCharType="end"/>
      </w:r>
      <w:r w:rsidR="00620F74">
        <w:rPr>
          <w:b/>
          <w:noProof/>
          <w:sz w:val="24"/>
        </w:rPr>
        <w:t xml:space="preserve">, </w:t>
      </w:r>
      <w:r w:rsidRPr="00784730">
        <w:rPr>
          <w:b/>
          <w:noProof/>
          <w:sz w:val="24"/>
        </w:rPr>
        <w:fldChar w:fldCharType="begin"/>
      </w:r>
      <w:r w:rsidRPr="00784730">
        <w:rPr>
          <w:b/>
          <w:noProof/>
          <w:sz w:val="24"/>
        </w:rPr>
        <w:instrText xml:space="preserve"> DOCPROPERTY  Country  \* MERGEFORMAT </w:instrText>
      </w:r>
      <w:r w:rsidRPr="00784730">
        <w:rPr>
          <w:b/>
          <w:noProof/>
          <w:sz w:val="24"/>
        </w:rPr>
        <w:fldChar w:fldCharType="separate"/>
      </w:r>
      <w:r w:rsidRPr="00784730">
        <w:rPr>
          <w:b/>
          <w:noProof/>
          <w:sz w:val="24"/>
        </w:rPr>
        <w:t>UNITED STATES</w:t>
      </w:r>
      <w:r w:rsidRPr="00784730">
        <w:rPr>
          <w:b/>
          <w:noProof/>
          <w:sz w:val="24"/>
        </w:rPr>
        <w:fldChar w:fldCharType="end"/>
      </w:r>
      <w:r w:rsidR="00620F74">
        <w:rPr>
          <w:b/>
          <w:noProof/>
          <w:sz w:val="24"/>
        </w:rPr>
        <w:t xml:space="preserve">, </w:t>
      </w:r>
      <w:r w:rsidR="00782052">
        <w:rPr>
          <w:b/>
          <w:noProof/>
          <w:sz w:val="24"/>
        </w:rPr>
        <w:fldChar w:fldCharType="begin"/>
      </w:r>
      <w:r w:rsidR="00782052" w:rsidRPr="00784730">
        <w:rPr>
          <w:b/>
          <w:noProof/>
          <w:sz w:val="24"/>
        </w:rPr>
        <w:instrText xml:space="preserve"> DOCPROPERTY  StartDate  \* MERGEFORMAT </w:instrText>
      </w:r>
      <w:r w:rsidR="00782052">
        <w:rPr>
          <w:b/>
          <w:noProof/>
          <w:sz w:val="24"/>
        </w:rPr>
        <w:fldChar w:fldCharType="separate"/>
      </w:r>
      <w:r>
        <w:rPr>
          <w:b/>
          <w:noProof/>
          <w:sz w:val="24"/>
        </w:rPr>
        <w:fldChar w:fldCharType="begin"/>
      </w:r>
      <w:r>
        <w:rPr>
          <w:b/>
          <w:noProof/>
          <w:sz w:val="24"/>
        </w:rPr>
        <w:instrText xml:space="preserve"> DOCPROPERTY  StartDate  \* MERGEFORMAT </w:instrText>
      </w:r>
      <w:r>
        <w:rPr>
          <w:b/>
          <w:noProof/>
          <w:sz w:val="24"/>
        </w:rPr>
        <w:fldChar w:fldCharType="separate"/>
      </w:r>
      <w:r>
        <w:rPr>
          <w:b/>
          <w:noProof/>
          <w:sz w:val="24"/>
        </w:rPr>
        <w:t>9th Dec 2025</w:t>
      </w:r>
      <w:r>
        <w:rPr>
          <w:b/>
          <w:noProof/>
          <w:sz w:val="24"/>
        </w:rPr>
        <w:fldChar w:fldCharType="end"/>
      </w:r>
      <w:r w:rsidR="00782052">
        <w:rPr>
          <w:b/>
          <w:noProof/>
          <w:sz w:val="24"/>
        </w:rPr>
        <w:fldChar w:fldCharType="end"/>
      </w:r>
      <w:r w:rsidR="00620F74">
        <w:rPr>
          <w:b/>
          <w:noProof/>
          <w:sz w:val="24"/>
        </w:rPr>
        <w:t xml:space="preserve"> - </w:t>
      </w:r>
      <w:r w:rsidRPr="00784730">
        <w:rPr>
          <w:b/>
          <w:noProof/>
          <w:sz w:val="24"/>
        </w:rPr>
        <w:fldChar w:fldCharType="begin"/>
      </w:r>
      <w:r w:rsidRPr="00784730">
        <w:rPr>
          <w:b/>
          <w:noProof/>
          <w:sz w:val="24"/>
        </w:rPr>
        <w:instrText xml:space="preserve"> DOCPROPERTY  EndDate  \* MERGEFORMAT </w:instrText>
      </w:r>
      <w:r w:rsidRPr="00784730">
        <w:rPr>
          <w:b/>
          <w:noProof/>
          <w:sz w:val="24"/>
        </w:rPr>
        <w:fldChar w:fldCharType="separate"/>
      </w:r>
      <w:r w:rsidRPr="00784730">
        <w:rPr>
          <w:b/>
          <w:noProof/>
          <w:sz w:val="24"/>
        </w:rPr>
        <w:t>12th Dec 2025</w:t>
      </w:r>
      <w:r w:rsidRPr="00784730">
        <w:rPr>
          <w:b/>
          <w:noProof/>
          <w:sz w:val="24"/>
        </w:rPr>
        <w:fldChar w:fldCharType="end"/>
      </w:r>
    </w:p>
    <w:p w:rsidR="004E535C" w:rsidRPr="00050554" w:rsidRDefault="004E535C" w:rsidP="004E535C">
      <w:pPr>
        <w:rPr>
          <w:rFonts w:ascii="Arial" w:hAnsi="Arial" w:cs="Arial"/>
          <w:b/>
          <w:bCs/>
          <w:lang w:val="en-US"/>
        </w:rPr>
      </w:pPr>
    </w:p>
    <w:p w:rsidR="004E535C" w:rsidRDefault="004E535C" w:rsidP="004E535C">
      <w:pPr>
        <w:spacing w:after="120"/>
        <w:ind w:left="1985" w:hanging="198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Source:</w:t>
      </w:r>
      <w:r>
        <w:rPr>
          <w:rFonts w:ascii="Arial" w:hAnsi="Arial" w:cs="Arial"/>
          <w:b/>
          <w:bCs/>
        </w:rPr>
        <w:tab/>
      </w:r>
      <w:r w:rsidR="00EF27D5">
        <w:rPr>
          <w:rFonts w:ascii="Arial" w:hAnsi="Arial" w:cs="Arial"/>
          <w:b/>
          <w:bCs/>
        </w:rPr>
        <w:fldChar w:fldCharType="begin"/>
      </w:r>
      <w:r w:rsidR="00EF27D5">
        <w:rPr>
          <w:rFonts w:ascii="Arial" w:hAnsi="Arial" w:cs="Arial"/>
          <w:b/>
          <w:bCs/>
        </w:rPr>
        <w:instrText xml:space="preserve"> DOCPROPERTY  Source  \* MERGEFORMAT </w:instrText>
      </w:r>
      <w:r w:rsidR="00EF27D5">
        <w:rPr>
          <w:rFonts w:ascii="Arial" w:hAnsi="Arial" w:cs="Arial"/>
          <w:b/>
          <w:bCs/>
        </w:rPr>
        <w:fldChar w:fldCharType="separate"/>
      </w:r>
      <w:r w:rsidR="00EF27D5">
        <w:rPr>
          <w:rFonts w:ascii="Arial" w:hAnsi="Arial" w:cs="Arial"/>
          <w:b/>
          <w:bCs/>
        </w:rPr>
        <w:t>SA WG4</w:t>
      </w:r>
      <w:r w:rsidR="00EF27D5">
        <w:rPr>
          <w:rFonts w:ascii="Arial" w:hAnsi="Arial" w:cs="Arial"/>
          <w:b/>
          <w:bCs/>
        </w:rPr>
        <w:fldChar w:fldCharType="end"/>
      </w:r>
    </w:p>
    <w:p w:rsidR="004E535C" w:rsidRPr="00E145B1" w:rsidRDefault="004E535C" w:rsidP="004E535C">
      <w:pPr>
        <w:spacing w:after="120"/>
        <w:ind w:left="1985" w:hanging="1985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</w:rPr>
        <w:t>Title:</w:t>
      </w:r>
      <w:r>
        <w:rPr>
          <w:rFonts w:ascii="Arial" w:hAnsi="Arial" w:cs="Arial"/>
          <w:b/>
          <w:bCs/>
        </w:rPr>
        <w:tab/>
      </w:r>
      <w:r w:rsidR="00784730">
        <w:rPr>
          <w:rFonts w:ascii="Arial" w:hAnsi="Arial" w:cs="Arial"/>
          <w:b/>
          <w:bCs/>
        </w:rPr>
        <w:fldChar w:fldCharType="begin"/>
      </w:r>
      <w:r w:rsidR="00784730">
        <w:rPr>
          <w:rFonts w:ascii="Arial" w:hAnsi="Arial" w:cs="Arial"/>
          <w:b/>
          <w:bCs/>
        </w:rPr>
        <w:instrText xml:space="preserve"> DOCPROPERTY  CrPackTitle  \* MERGEFORMAT </w:instrText>
      </w:r>
      <w:r w:rsidR="00784730">
        <w:rPr>
          <w:rFonts w:ascii="Arial" w:hAnsi="Arial" w:cs="Arial"/>
          <w:b/>
          <w:bCs/>
        </w:rPr>
        <w:fldChar w:fldCharType="separate"/>
      </w:r>
      <w:r w:rsidR="00784730">
        <w:rPr>
          <w:rFonts w:ascii="Arial" w:hAnsi="Arial" w:cs="Arial"/>
          <w:b/>
          <w:bCs/>
        </w:rPr>
        <w:t>CR Pack on WI IVAS_Codec</w:t>
      </w:r>
      <w:proofErr w:type="spellStart"/>
      <w:r w:rsidR="00784730"/>
      <w:proofErr w:type="spellEnd"/>
      <w:r w:rsidR="00784730"/>
      <w:r w:rsidR="00784730">
        <w:rPr>
          <w:rFonts w:ascii="Arial" w:hAnsi="Arial" w:cs="Arial"/>
          <w:b/>
          <w:bCs/>
        </w:rPr>
        <w:fldChar w:fldCharType="end"/>
      </w:r>
    </w:p>
    <w:p w:rsidR="004E535C" w:rsidRDefault="004E535C" w:rsidP="004E535C">
      <w:pPr>
        <w:spacing w:after="120"/>
        <w:ind w:left="1985" w:hanging="198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Agenda item:</w:t>
      </w:r>
      <w:r>
        <w:rPr>
          <w:rFonts w:ascii="Arial" w:hAnsi="Arial" w:cs="Arial"/>
          <w:b/>
          <w:bCs/>
        </w:rPr>
        <w:tab/>
      </w:r>
      <w:r w:rsidR="00784730">
        <w:rPr>
          <w:rFonts w:ascii="Arial" w:hAnsi="Arial" w:cs="Arial"/>
          <w:b/>
          <w:bCs/>
        </w:rPr>
        <w:fldChar w:fldCharType="begin"/>
      </w:r>
      <w:r w:rsidR="00784730">
        <w:rPr>
          <w:rFonts w:ascii="Arial" w:hAnsi="Arial" w:cs="Arial"/>
          <w:b/>
          <w:bCs/>
        </w:rPr>
        <w:instrText xml:space="preserve"> DOCPROPERTY  Agenda#  \* MERGEFORMAT </w:instrText>
      </w:r>
      <w:r w:rsidR="00784730">
        <w:rPr>
          <w:rFonts w:ascii="Arial" w:hAnsi="Arial" w:cs="Arial"/>
          <w:b/>
          <w:bCs/>
        </w:rPr>
        <w:fldChar w:fldCharType="separate"/>
      </w:r>
      <w:r w:rsidR="00784730">
        <w:rPr>
          <w:rFonts w:ascii="Arial" w:hAnsi="Arial" w:cs="Arial"/>
          <w:b/>
          <w:bCs/>
        </w:rPr>
        <w:t>18.4</w:t>
      </w:r>
      <w:r w:rsidR="00784730">
        <w:rPr>
          <w:rFonts w:ascii="Arial" w:hAnsi="Arial" w:cs="Arial"/>
          <w:b/>
          <w:bCs/>
        </w:rPr>
        <w:fldChar w:fldCharType="end"/>
      </w:r>
    </w:p>
    <w:p w:rsidR="004E535C" w:rsidRDefault="004E535C" w:rsidP="004E535C">
      <w:pPr>
        <w:spacing w:after="120"/>
        <w:ind w:left="1985" w:hanging="198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Document for:</w:t>
      </w:r>
      <w:r>
        <w:rPr>
          <w:rFonts w:ascii="Arial" w:hAnsi="Arial" w:cs="Arial"/>
          <w:b/>
          <w:bCs/>
        </w:rPr>
        <w:tab/>
      </w:r>
      <w:r w:rsidR="00620F74">
        <w:rPr>
          <w:rFonts w:ascii="Arial" w:hAnsi="Arial" w:cs="Arial"/>
          <w:b/>
          <w:bCs/>
        </w:rPr>
        <w:t>APPROVAL</w:t>
      </w:r>
    </w:p>
    <w:p w:rsidR="004E535C" w:rsidRDefault="004E535C" w:rsidP="004E535C">
      <w:pPr>
        <w:pBdr>
          <w:bottom w:val="single" w:sz="4" w:space="1" w:color="auto"/>
        </w:pBdr>
        <w:rPr>
          <w:rFonts w:ascii="Arial" w:hAnsi="Arial" w:cs="Arial"/>
          <w:b/>
          <w:bCs/>
        </w:rPr>
      </w:pPr>
    </w:p>
    <w:p w:rsidR="004E535C" w:rsidRPr="004E535C" w:rsidRDefault="004E53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These CRs were agreed by </w:t>
      </w:r>
      <w:r w:rsidR="00EF27D5">
        <w:rPr>
          <w:rFonts w:ascii="Arial" w:hAnsi="Arial" w:cs="Arial"/>
        </w:rPr>
        <w:fldChar w:fldCharType="begin"/>
      </w:r>
      <w:r w:rsidR="00EF27D5">
        <w:rPr>
          <w:rFonts w:ascii="Arial" w:hAnsi="Arial" w:cs="Arial"/>
        </w:rPr>
        <w:instrText xml:space="preserve"> DOCPROPERTY  Source  \* MERGEFORMAT </w:instrText>
      </w:r>
      <w:r w:rsidR="00EF27D5">
        <w:rPr>
          <w:rFonts w:ascii="Arial" w:hAnsi="Arial" w:cs="Arial"/>
        </w:rPr>
        <w:fldChar w:fldCharType="separate"/>
      </w:r>
      <w:r w:rsidR="00EF27D5">
        <w:rPr>
          <w:rFonts w:ascii="Arial" w:hAnsi="Arial" w:cs="Arial"/>
        </w:rPr>
        <w:t>SA WG4</w:t>
      </w:r>
      <w:r w:rsidR="00EF27D5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and are forwarded to </w:t>
      </w:r>
      <w:r w:rsidR="00620F74" w:rsidRPr="001A5153">
        <w:rPr>
          <w:rFonts w:ascii="Arial" w:hAnsi="Arial" w:cs="Arial"/>
        </w:rPr>
        <w:t>TSG-</w:t>
      </w:r>
      <w:r w:rsidR="001A5153" w:rsidRPr="001A5153">
        <w:rPr>
          <w:rFonts w:ascii="Arial" w:hAnsi="Arial" w:cs="Arial"/>
        </w:rPr>
        <w:fldChar w:fldCharType="begin"/>
      </w:r>
      <w:r w:rsidR="001A5153" w:rsidRPr="001A5153">
        <w:rPr>
          <w:rFonts w:ascii="Arial" w:hAnsi="Arial" w:cs="Arial"/>
        </w:rPr>
        <w:instrText xml:space="preserve"> DOCPROPERTY  TSG/WGRef  \* MERGEFORMAT </w:instrText>
      </w:r>
      <w:r w:rsidR="001A5153" w:rsidRPr="001A5153">
        <w:rPr>
          <w:rFonts w:ascii="Arial" w:hAnsi="Arial" w:cs="Arial"/>
        </w:rPr>
        <w:fldChar w:fldCharType="separate"/>
      </w:r>
      <w:r w:rsidR="001A5153" w:rsidRPr="001A5153">
        <w:rPr>
          <w:rFonts w:ascii="Arial" w:hAnsi="Arial" w:cs="Arial"/>
        </w:rPr>
        <w:t>SA</w:t>
      </w:r>
      <w:r w:rsidR="001A5153" w:rsidRPr="001A5153">
        <w:rPr>
          <w:rFonts w:ascii="Arial" w:hAnsi="Arial" w:cs="Arial"/>
        </w:rPr>
        <w:fldChar w:fldCharType="end"/>
      </w:r>
      <w:r w:rsidR="00620F74" w:rsidRPr="001A5153">
        <w:rPr>
          <w:rFonts w:ascii="Arial" w:hAnsi="Arial" w:cs="Arial"/>
        </w:rPr>
        <w:t>#</w:t>
      </w:r>
      <w:r w:rsidR="00784730" w:rsidRPr="001A5153">
        <w:rPr>
          <w:rFonts w:ascii="Arial" w:hAnsi="Arial" w:cs="Arial"/>
        </w:rPr>
        <w:fldChar w:fldCharType="begin"/>
      </w:r>
      <w:r w:rsidR="00784730" w:rsidRPr="001A5153">
        <w:rPr>
          <w:rFonts w:ascii="Arial" w:hAnsi="Arial" w:cs="Arial"/>
        </w:rPr>
        <w:instrText xml:space="preserve"> DOCPROPERTY  MtgSeq  \* MERGEFORMAT </w:instrText>
      </w:r>
      <w:r w:rsidR="00784730" w:rsidRPr="001A5153">
        <w:rPr>
          <w:rFonts w:ascii="Arial" w:hAnsi="Arial" w:cs="Arial"/>
        </w:rPr>
        <w:fldChar w:fldCharType="separate"/>
      </w:r>
      <w:r w:rsidR="00784730" w:rsidRPr="001A5153">
        <w:rPr>
          <w:rFonts w:ascii="Arial" w:hAnsi="Arial" w:cs="Arial"/>
        </w:rPr>
        <w:t>110</w:t>
      </w:r>
      <w:r w:rsidR="00784730" w:rsidRPr="001A5153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for approval: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637"/>
        <w:gridCol w:w="517"/>
        <w:gridCol w:w="637"/>
        <w:gridCol w:w="3045"/>
        <w:gridCol w:w="517"/>
        <w:gridCol w:w="637"/>
        <w:gridCol w:w="758"/>
        <w:gridCol w:w="1119"/>
        <w:gridCol w:w="1597"/>
        <w:gridCol w:w="1122"/>
        <w:gridCol w:w="2323"/>
        <w:gridCol w:w="998"/>
      </w:tblGrid>
      <w:tr w:rsidR="004E535C" w:rsidRPr="004E535C" w:rsidTr="00BF1EB6">
        <w:trPr>
          <w:tblHeader/>
        </w:trPr>
        <w:tc>
          <w:tcPr>
            <w:tcW w:w="879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TS</w:t>
            </w:r>
          </w:p>
        </w:tc>
        <w:tc>
          <w:tcPr>
            <w:tcW w:w="637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CR</w:t>
            </w:r>
          </w:p>
        </w:tc>
        <w:tc>
          <w:tcPr>
            <w:tcW w:w="517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Rev</w:t>
            </w:r>
          </w:p>
        </w:tc>
        <w:tc>
          <w:tcPr>
            <w:tcW w:w="637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proofErr w:type="spellStart"/>
            <w:r w:rsidRPr="00BF1EB6">
              <w:rPr>
                <w:b/>
                <w:sz w:val="18"/>
              </w:rPr>
              <w:t>Rel</w:t>
            </w:r>
            <w:proofErr w:type="spellEnd"/>
          </w:p>
        </w:tc>
        <w:tc>
          <w:tcPr>
            <w:tcW w:w="3045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Title</w:t>
            </w:r>
          </w:p>
        </w:tc>
        <w:tc>
          <w:tcPr>
            <w:tcW w:w="517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Cat</w:t>
            </w:r>
          </w:p>
        </w:tc>
        <w:tc>
          <w:tcPr>
            <w:tcW w:w="637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proofErr w:type="spellStart"/>
            <w:r w:rsidRPr="00BF1EB6">
              <w:rPr>
                <w:b/>
                <w:sz w:val="18"/>
              </w:rPr>
              <w:t>Vsn</w:t>
            </w:r>
            <w:proofErr w:type="spellEnd"/>
          </w:p>
        </w:tc>
        <w:tc>
          <w:tcPr>
            <w:tcW w:w="758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 xml:space="preserve">@ </w:t>
            </w:r>
            <w:proofErr w:type="spellStart"/>
            <w:r w:rsidRPr="00BF1EB6">
              <w:rPr>
                <w:b/>
                <w:sz w:val="18"/>
              </w:rPr>
              <w:t>Mtg</w:t>
            </w:r>
            <w:proofErr w:type="spellEnd"/>
          </w:p>
        </w:tc>
        <w:tc>
          <w:tcPr>
            <w:tcW w:w="1119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TD#</w:t>
            </w:r>
          </w:p>
        </w:tc>
        <w:tc>
          <w:tcPr>
            <w:tcW w:w="1597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Source to WG</w:t>
            </w:r>
          </w:p>
        </w:tc>
        <w:tc>
          <w:tcPr>
            <w:tcW w:w="1122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Work Item</w:t>
            </w:r>
          </w:p>
        </w:tc>
        <w:tc>
          <w:tcPr>
            <w:tcW w:w="2323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>Clauses affected</w:t>
            </w:r>
          </w:p>
        </w:tc>
        <w:tc>
          <w:tcPr>
            <w:tcW w:w="998" w:type="dxa"/>
            <w:shd w:val="clear" w:color="auto" w:fill="F3F3F3"/>
            <w:vAlign w:val="center"/>
          </w:tcPr>
          <w:p w:rsidR="004E535C" w:rsidRPr="00BF1EB6" w:rsidRDefault="004E535C" w:rsidP="00BF1EB6">
            <w:pPr>
              <w:pStyle w:val="Sansinterligne"/>
              <w:jc w:val="center"/>
              <w:rPr>
                <w:b/>
                <w:sz w:val="18"/>
              </w:rPr>
            </w:pPr>
            <w:r w:rsidRPr="00BF1EB6">
              <w:rPr>
                <w:b/>
                <w:sz w:val="18"/>
              </w:rPr>
              <w:t xml:space="preserve">Other </w:t>
            </w:r>
            <w:proofErr w:type="spellStart"/>
            <w:r w:rsidRPr="00BF1EB6">
              <w:rPr>
                <w:b/>
                <w:sz w:val="18"/>
              </w:rPr>
              <w:t>Aff</w:t>
            </w:r>
            <w:proofErr w:type="spellEnd"/>
            <w:r w:rsidRPr="00BF1EB6">
              <w:rPr>
                <w:b/>
                <w:sz w:val="18"/>
              </w:rPr>
              <w:t xml:space="preserve"> Specs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26.114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0587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Update to IVAS SDP parameters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18.11.0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S4-252105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Ericsson LM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5.2.1.1, 6.2.2.2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 26.253 CR 0016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26.114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0588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Rel-19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Update to IVAS SDP parameters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A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19.1.0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S4-252106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Ericsson LM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5.2.1.1, 6.2.2.2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 26.253 CR 0016;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26.114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0599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1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to b=AS calculations and SDP examples for IVAS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18.11.0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S4-252115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Nokia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A.19, Z.2, Z.3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 26.253 CR 0016;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26.114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0600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1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Rel-19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to b=AS calculations and SDP examples for IVAS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A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19.1.0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S4-252116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Nokia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A.19, Z.2, Z.3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 26.253 CR 0016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26.252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0003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for IVAS test sequences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18.2.0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S4-252039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Huawei, Nokia, NTT, Orange, Panasonic Holdings Corporation, Philips International B.V. VoiceAge Corporation, Qualcomm Inc.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1, 2, 4.1, 5.2, 6.3.6 (new), 7.1, 7.3, Readme.txt (separate file), electronic attachment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TS/TR ... CR ...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26.252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0004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Rel-19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for IVAS test sequences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A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19.0.0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S4-252040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Huawei, Nokia, NTT, Orange, Panasonic Holdings Corporation, Philips International B.V. VoiceAge Corporation, Qualcomm Inc.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1, 2, 4.1, 5.2, 6.3.6 (new), 7.1, 7.3, Readme.txt (separate file), electronic attachment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TS/TR ... CR ...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0016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4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Further corrections to Annex A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18.6.0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S4-251983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Nokia, Fraunhofer IIS, Ericsson LM, Dolby Laboratories Inc., Orange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>
            <w:pPr>
              <w:rPr>
                <w:sz w:val="16"/>
                <w:szCs w:val="16"/>
              </w:rPr>
            </w:pP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0024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1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Rel-19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to TS 26.253 Annex A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A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19.0.0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S4-251981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Samsung Electronics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Annex A.3.3.1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TS/TR ... CR ...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0025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1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Updates to the IVAS algorithmic description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18.6.0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S4-252004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 Technologies Co Ltd., Nokia, NTT, Orange, Panasonic Holdings Corporation, Philips International B.V., Qualcomm Incorporated, VoiceAge Corporation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2, 4.2.1, 4.3.2, 4.4, 5.3.5.2, 5.8.1, 5.9.6.3.4, 6.3.3.1, 6.3.5.2, 6.6.1, 6.6.6.1, 6.9.12 (new), 6.10 (new), 7.2.1.5 (new), 7.2.2.2.6, 7.2.2.3.1, 7.2.2.3.5, 7.2.2.3.11 (new), 7.2.2.4.3.2, 7.2.2.6 (new), 7.2.3 (new), 7.4.7.2, 7.4.8.1, 7.4.8.4 (new), 7.4.10 (new), 7.6.2.2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TS/TR ... CR ...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0026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1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Rel-19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Updates to the IVAS algorithmic description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A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19.0.0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S4-252005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 Technologies Co Ltd., Nokia, NTT, Orange, Panasonic Holdings Corporation, Philips International B.V., Qualcomm Incorporated, VoiceAge Corporation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2, 4.2.1, 4.3.2, 4.4, 5.3.5.2, 5.8.1, 5.9.6.3.4, 6.3.3.1, 6.3.5.2, 6.6.1, 6.6.6.1, 6.9.12 (new), 6.10 (new), 7.2.1.5 (new), 7.2.2.2.6, 7.2.2.3.1, 7.2.2.3.5, 7.2.2.3.11 (new), 7.2.2.4.3.2, 7.2.2.6 (new), 7.2.3 (new), 7.4.7.2, 7.4.8.1, 7.4.8.4 (new), 7.4.10 (new), 7.6.2.2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TS/TR ... CR ...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0027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-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Correcting references to fixed-point specification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18.6.0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S4-251899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 Technologies Co Ltd., Nokia, NTT, Orange, Panasonic Holdings Corporation, Philips International B.V., Qualcomm Incorporated, VoiceAge Corporation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2, 4.1, 4.5.4, 5.3.3.3.6.4.3, 6.6.6.2, 7.6.8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TS/TR ... CR ...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0029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-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to TS 26.253 Annex A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18.6.0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S4-251982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Samsung Electronics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/>
            <w:r>
              <w:rPr>
                <w:sz w:val="16"/>
                <w:szCs w:val="16"/>
              </w:rPr>
              <w:t>Annex A.3.3.1</w:t>
            </w:r>
          </w:p>
        </w:tc>
        <w:tc>
          <w:tcPr>
            <w:tcW w:w="998" w:type="dxa"/>
          </w:tcPr>
          <w:p>
            <w:pPr/>
            <w:r>
              <w:rPr>
                <w:sz w:val="16"/>
                <w:szCs w:val="16"/>
              </w:rPr>
              <w:t xml:space="preserve">TS/TR ... CR ... ; TS/TR ... CR ... ; TS/TR ... CR ... </w:t>
            </w: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26.253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0030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-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Rel-19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Further corrections to Annex A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A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19.0.0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S4-252081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Nokia, Fraunhofer IIS, Ericsson LM, Dolby Laboratories Inc., Orange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>
            <w:pPr>
              <w:rPr>
                <w:sz w:val="16"/>
                <w:szCs w:val="16"/>
              </w:rPr>
            </w:pP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26.254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0003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 of IVAS rendering specification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18.1.0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S4-252117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Huawei, Nokia, NTT, Orange, Panasonic Holdings Corporation, Philips International B.V., Qualcomm Inc., VoiceAge Corporation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>
            <w:pPr>
              <w:rPr>
                <w:sz w:val="16"/>
                <w:szCs w:val="16"/>
              </w:rPr>
            </w:pP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26.258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0004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Rel-18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to the IVAS Codec Software (floating-point), Rel. 18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F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18.2.0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S4-251999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 Technologies Co Ltd., Nokia, NTT, Orange, Panasonic Holdings Corporation, Philips International B.V., Qualcomm Incorporated, VoiceAge Corporation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>
            <w:pPr>
              <w:rPr>
                <w:sz w:val="16"/>
                <w:szCs w:val="16"/>
              </w:rPr>
            </w:pPr>
          </w:p>
        </w:tc>
      </w:tr>
      <w:tr>
        <w:tc>
          <w:tcPr>
            <w:tcW w:w="879" w:type="dxa"/>
          </w:tcPr>
          <w:p>
            <w:pPr/>
            <w:r>
              <w:rPr>
                <w:sz w:val="16"/>
                <w:szCs w:val="16"/>
              </w:rPr>
              <w:t>26.258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0005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2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Rel-19</w:t>
            </w:r>
          </w:p>
        </w:tc>
        <w:tc>
          <w:tcPr>
            <w:tcW w:w="3045" w:type="dxa"/>
          </w:tcPr>
          <w:p>
            <w:pPr/>
            <w:r>
              <w:rPr>
                <w:sz w:val="16"/>
                <w:szCs w:val="16"/>
              </w:rPr>
              <w:t>Corrections to the IVAS Codec Software (floating-point), Rel. 19</w:t>
            </w:r>
          </w:p>
        </w:tc>
        <w:tc>
          <w:tcPr>
            <w:tcW w:w="517" w:type="dxa"/>
          </w:tcPr>
          <w:p>
            <w:pPr/>
            <w:r>
              <w:rPr>
                <w:sz w:val="16"/>
                <w:szCs w:val="16"/>
              </w:rPr>
              <w:t>A</w:t>
            </w:r>
          </w:p>
        </w:tc>
        <w:tc>
          <w:tcPr>
            <w:tcW w:w="637" w:type="dxa"/>
          </w:tcPr>
          <w:p>
            <w:pPr/>
            <w:r>
              <w:rPr>
                <w:sz w:val="16"/>
                <w:szCs w:val="16"/>
              </w:rPr>
              <w:t>19.0.0</w:t>
            </w:r>
          </w:p>
        </w:tc>
        <w:tc>
          <w:tcPr>
            <w:tcW w:w="758" w:type="dxa"/>
          </w:tcPr>
          <w:p>
            <w:pPr/>
            <w:r>
              <w:rPr>
                <w:sz w:val="16"/>
                <w:szCs w:val="16"/>
              </w:rPr>
              <w:t>SA4#134</w:t>
            </w:r>
          </w:p>
        </w:tc>
        <w:tc>
          <w:tcPr>
            <w:tcW w:w="1119" w:type="dxa"/>
          </w:tcPr>
          <w:p>
            <w:pPr/>
            <w:r>
              <w:rPr>
                <w:sz w:val="16"/>
                <w:szCs w:val="16"/>
              </w:rPr>
              <w:t>S4-252000</w:t>
            </w:r>
          </w:p>
        </w:tc>
        <w:tc>
          <w:tcPr>
            <w:tcW w:w="1597" w:type="dxa"/>
          </w:tcPr>
          <w:p>
            <w:pPr/>
            <w:r>
              <w:rPr>
                <w:sz w:val="16"/>
                <w:szCs w:val="16"/>
              </w:rPr>
              <w:t>Dolby Laboratories Inc., Ericsson LM, Fraunhofer IIS, Huawei Technologies Co Ltd., Nokia, NTT, Orange, Panasonic Holdings Corporation, Philips International B.V., Qualcomm Incorporated, VoiceAge Corporation</w:t>
            </w:r>
          </w:p>
        </w:tc>
        <w:tc>
          <w:tcPr>
            <w:tcW w:w="1122" w:type="dxa"/>
          </w:tcPr>
          <w:p>
            <w:pPr/>
            <w:r>
              <w:rPr>
                <w:sz w:val="16"/>
                <w:szCs w:val="16"/>
              </w:rPr>
              <w:t>IVAS_Codec</w:t>
            </w:r>
          </w:p>
        </w:tc>
        <w:tc>
          <w:tcPr>
            <w:tcW w:w="2323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998" w:type="dxa"/>
          </w:tcPr>
          <w:p>
            <w:pPr>
              <w:rPr>
                <w:sz w:val="16"/>
                <w:szCs w:val="16"/>
              </w:rPr>
            </w:pPr>
          </w:p>
        </w:tc>
      </w:tr>
    </w:tbl>
    <w:p w:rsidR="004E535C" w:rsidRDefault="004E535C">
      <w:bookmarkStart w:id="0" w:name="_GoBack"/>
      <w:bookmarkEnd w:id="0"/>
    </w:p>
    <w:p w:rsidR="0042202C" w:rsidRDefault="0042202C"/>
    <w:sectPr w:rsidR="0042202C" w:rsidSect="004E535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5C"/>
    <w:rsid w:val="00153056"/>
    <w:rsid w:val="001A5153"/>
    <w:rsid w:val="0033325F"/>
    <w:rsid w:val="0042202C"/>
    <w:rsid w:val="00452286"/>
    <w:rsid w:val="00496F75"/>
    <w:rsid w:val="004A7F08"/>
    <w:rsid w:val="004E535C"/>
    <w:rsid w:val="00603A8C"/>
    <w:rsid w:val="00620F74"/>
    <w:rsid w:val="00697622"/>
    <w:rsid w:val="00782052"/>
    <w:rsid w:val="00784730"/>
    <w:rsid w:val="007E5961"/>
    <w:rsid w:val="008941B8"/>
    <w:rsid w:val="009A3885"/>
    <w:rsid w:val="00B54369"/>
    <w:rsid w:val="00BF1EB6"/>
    <w:rsid w:val="00D70574"/>
    <w:rsid w:val="00EF27D5"/>
    <w:rsid w:val="00F1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D839D-620A-418E-8CD7-34B07F89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02C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F1EB6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7C585-2420-4D79-9DEE-B93530FDB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813</Characters>
  <Application>Microsoft Office Word</Application>
  <DocSecurity>0</DocSecurity>
  <Lines>81</Lines>
  <Paragraphs>63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ETSI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31124_CR0451R2_CIoT-CT_(Rel-13)</dc:creator>
  <cp:keywords/>
  <cp:lastModifiedBy>BABIN, Laurent</cp:lastModifiedBy>
  <cp:revision>4</cp:revision>
  <dcterms:created xsi:type="dcterms:W3CDTF">2017-03-20T16:58:00Z</dcterms:created>
  <dcterms:modified xsi:type="dcterms:W3CDTF">2017-03-21T16:06:00Z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12" name="TSG/WGRef">
    <vt:lpwstr>SA</vt:lpwstr>
  </property>
  <property fmtid="{D5CDD505-2E9C-101B-9397-08002B2CF9AE}" pid="13" name="MtgSeq">
    <vt:lpwstr>110</vt:lpwstr>
  </property>
  <property fmtid="{D5CDD505-2E9C-101B-9397-08002B2CF9AE}" pid="14" name="Location">
    <vt:lpwstr>Baltimore</vt:lpwstr>
  </property>
  <property fmtid="{D5CDD505-2E9C-101B-9397-08002B2CF9AE}" pid="15" name="Country">
    <vt:lpwstr>UNITED STATES</vt:lpwstr>
  </property>
  <property fmtid="{D5CDD505-2E9C-101B-9397-08002B2CF9AE}" pid="16" name="StartDate">
    <vt:lpwstr>9th Dec 2025</vt:lpwstr>
  </property>
  <property fmtid="{D5CDD505-2E9C-101B-9397-08002B2CF9AE}" pid="17" name="EndDate">
    <vt:lpwstr>12th Dec 2025</vt:lpwstr>
  </property>
  <property fmtid="{D5CDD505-2E9C-101B-9397-08002B2CF9AE}" pid="18" name="Tdoc#">
    <vt:lpwstr>SP-251431</vt:lpwstr>
  </property>
  <property fmtid="{D5CDD505-2E9C-101B-9397-08002B2CF9AE}" pid="19" name="CrpackTitle">
    <vt:lpwstr>CR Pack on WI IVAS_Codec</vt:lpwstr>
  </property>
  <property fmtid="{D5CDD505-2E9C-101B-9397-08002B2CF9AE}" pid="20" name="Agenda#">
    <vt:lpwstr>18.4</vt:lpwstr>
  </property>
  <property fmtid="{D5CDD505-2E9C-101B-9397-08002B2CF9AE}" pid="21" name="Source">
    <vt:lpwstr>SA WG4</vt:lpwstr>
  </property>
</Properties>
</file>